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EA" w:rsidRPr="0040364E" w:rsidRDefault="001E66EA" w:rsidP="001E66EA">
      <w:pPr>
        <w:autoSpaceDE w:val="0"/>
        <w:autoSpaceDN w:val="0"/>
        <w:adjustRightInd w:val="0"/>
        <w:jc w:val="center"/>
        <w:rPr>
          <w:rFonts w:ascii="Trebuchet MS" w:hAnsi="Trebuchet MS" w:cs="TimesNewRomanPSMT"/>
          <w:b/>
          <w:sz w:val="22"/>
          <w:szCs w:val="22"/>
        </w:rPr>
      </w:pPr>
      <w:r w:rsidRPr="0040364E">
        <w:rPr>
          <w:rFonts w:ascii="Trebuchet MS" w:hAnsi="Trebuchet MS" w:cs="TimesNewRomanPSMT"/>
          <w:b/>
          <w:sz w:val="22"/>
          <w:szCs w:val="22"/>
        </w:rPr>
        <w:t>Ação nº 2</w:t>
      </w:r>
    </w:p>
    <w:p w:rsidR="001E66EA" w:rsidRPr="0040364E" w:rsidRDefault="001E66EA" w:rsidP="001E66EA">
      <w:pPr>
        <w:autoSpaceDE w:val="0"/>
        <w:autoSpaceDN w:val="0"/>
        <w:adjustRightInd w:val="0"/>
        <w:jc w:val="center"/>
        <w:rPr>
          <w:rFonts w:ascii="Trebuchet MS" w:hAnsi="Trebuchet MS" w:cs="TimesNewRomanPSMT"/>
          <w:sz w:val="22"/>
          <w:szCs w:val="22"/>
        </w:rPr>
      </w:pPr>
      <w:r w:rsidRPr="0040364E">
        <w:rPr>
          <w:rFonts w:ascii="Trebuchet MS" w:hAnsi="Trebuchet MS" w:cs="TimesNewRomanPSMT"/>
          <w:sz w:val="22"/>
          <w:szCs w:val="22"/>
        </w:rPr>
        <w:t>Pessoal Docente</w:t>
      </w:r>
    </w:p>
    <w:p w:rsidR="00472431" w:rsidRPr="000B406D" w:rsidRDefault="007F03CD" w:rsidP="00F8555E">
      <w:pPr>
        <w:autoSpaceDE w:val="0"/>
        <w:autoSpaceDN w:val="0"/>
        <w:adjustRightInd w:val="0"/>
        <w:spacing w:before="120"/>
        <w:jc w:val="center"/>
        <w:rPr>
          <w:rFonts w:ascii="Trebuchet MS" w:hAnsi="Trebuchet MS" w:cs="TimesNewRomanPSMT"/>
          <w:sz w:val="22"/>
          <w:szCs w:val="22"/>
        </w:rPr>
      </w:pPr>
      <w:r w:rsidRPr="00472431">
        <w:rPr>
          <w:rFonts w:ascii="Trebuchet MS" w:hAnsi="Trebuchet MS" w:cs="TimesNewRomanPSMT"/>
          <w:b/>
          <w:sz w:val="22"/>
          <w:szCs w:val="22"/>
        </w:rPr>
        <w:t xml:space="preserve">Seminário “Currículos de </w:t>
      </w:r>
      <w:r w:rsidR="00005257" w:rsidRPr="00472431">
        <w:rPr>
          <w:rFonts w:ascii="Trebuchet MS" w:hAnsi="Trebuchet MS" w:cs="TimesNewRomanPSMT"/>
          <w:b/>
          <w:sz w:val="22"/>
          <w:szCs w:val="22"/>
        </w:rPr>
        <w:t xml:space="preserve">nível </w:t>
      </w:r>
      <w:r w:rsidRPr="00472431">
        <w:rPr>
          <w:rFonts w:ascii="Trebuchet MS" w:hAnsi="Trebuchet MS" w:cs="TimesNewRomanPSMT"/>
          <w:b/>
          <w:sz w:val="22"/>
          <w:szCs w:val="22"/>
        </w:rPr>
        <w:t>elevado no ensino das ciências”</w:t>
      </w:r>
      <w:r w:rsidR="000B406D">
        <w:rPr>
          <w:rFonts w:ascii="Trebuchet MS" w:hAnsi="Trebuchet MS" w:cs="TimesNewRomanPSMT"/>
          <w:b/>
          <w:sz w:val="22"/>
          <w:szCs w:val="22"/>
        </w:rPr>
        <w:t xml:space="preserve"> </w:t>
      </w:r>
      <w:r w:rsidR="000B406D">
        <w:rPr>
          <w:rFonts w:ascii="Trebuchet MS" w:hAnsi="Trebuchet MS" w:cs="TimesNewRomanPSMT"/>
          <w:sz w:val="22"/>
          <w:szCs w:val="22"/>
        </w:rPr>
        <w:t>–</w:t>
      </w:r>
      <w:r w:rsidR="000B406D" w:rsidRPr="000B406D">
        <w:rPr>
          <w:rFonts w:ascii="Trebuchet MS" w:hAnsi="Trebuchet MS" w:cs="TimesNewRomanPSMT"/>
          <w:sz w:val="22"/>
          <w:szCs w:val="22"/>
        </w:rPr>
        <w:t xml:space="preserve"> </w:t>
      </w:r>
      <w:r w:rsidR="00472431" w:rsidRPr="000B406D">
        <w:rPr>
          <w:rFonts w:ascii="Trebuchet MS" w:hAnsi="Trebuchet MS" w:cs="TimesNewRomanPSMT"/>
          <w:sz w:val="22"/>
          <w:szCs w:val="22"/>
        </w:rPr>
        <w:t>Workshop “Análise de currículos”</w:t>
      </w:r>
    </w:p>
    <w:p w:rsidR="00DC615C" w:rsidRPr="0099117B" w:rsidRDefault="00DC615C" w:rsidP="00DC615C">
      <w:pPr>
        <w:autoSpaceDE w:val="0"/>
        <w:autoSpaceDN w:val="0"/>
        <w:adjustRightInd w:val="0"/>
        <w:spacing w:before="120" w:line="36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99117B">
        <w:rPr>
          <w:rFonts w:ascii="Trebuchet MS" w:hAnsi="Trebuchet MS"/>
          <w:color w:val="000000"/>
          <w:sz w:val="20"/>
          <w:szCs w:val="20"/>
        </w:rPr>
        <w:t xml:space="preserve">27 </w:t>
      </w:r>
      <w:proofErr w:type="gramStart"/>
      <w:r w:rsidRPr="0099117B">
        <w:rPr>
          <w:rFonts w:ascii="Trebuchet MS" w:hAnsi="Trebuchet MS"/>
          <w:color w:val="000000"/>
          <w:sz w:val="20"/>
          <w:szCs w:val="20"/>
        </w:rPr>
        <w:t>de</w:t>
      </w:r>
      <w:proofErr w:type="gramEnd"/>
      <w:r w:rsidRPr="0099117B">
        <w:rPr>
          <w:rFonts w:ascii="Trebuchet MS" w:hAnsi="Trebuchet MS"/>
          <w:color w:val="000000"/>
          <w:sz w:val="20"/>
          <w:szCs w:val="20"/>
        </w:rPr>
        <w:t xml:space="preserve"> outubro de 2014</w:t>
      </w:r>
      <w:r>
        <w:rPr>
          <w:rFonts w:ascii="Trebuchet MS" w:hAnsi="Trebuchet MS"/>
          <w:color w:val="000000"/>
          <w:sz w:val="20"/>
          <w:szCs w:val="20"/>
        </w:rPr>
        <w:t xml:space="preserve">, </w:t>
      </w:r>
      <w:r w:rsidRPr="0099117B">
        <w:rPr>
          <w:rFonts w:ascii="Trebuchet MS" w:hAnsi="Trebuchet MS" w:cs="Arial"/>
          <w:sz w:val="20"/>
          <w:szCs w:val="20"/>
        </w:rPr>
        <w:t>Conselho Nacional de Educação</w:t>
      </w:r>
    </w:p>
    <w:p w:rsidR="00472431" w:rsidRDefault="00472431" w:rsidP="000B406D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472431">
        <w:rPr>
          <w:rFonts w:ascii="Trebuchet MS" w:hAnsi="Trebuchet MS"/>
          <w:b/>
          <w:color w:val="000000"/>
          <w:sz w:val="20"/>
          <w:szCs w:val="20"/>
        </w:rPr>
        <w:t>Formando</w:t>
      </w:r>
      <w:r>
        <w:rPr>
          <w:rFonts w:ascii="Trebuchet MS" w:hAnsi="Trebuchet MS"/>
          <w:color w:val="000000"/>
          <w:sz w:val="20"/>
          <w:szCs w:val="20"/>
        </w:rPr>
        <w:t>:</w:t>
      </w:r>
    </w:p>
    <w:p w:rsidR="0099117B" w:rsidRPr="00472431" w:rsidRDefault="000B406D" w:rsidP="00DC615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472431">
        <w:rPr>
          <w:rFonts w:ascii="Arial" w:hAnsi="Arial" w:cs="Arial"/>
          <w:b/>
        </w:rPr>
        <w:t>Análise</w:t>
      </w:r>
      <w:r w:rsidR="00DC615C">
        <w:rPr>
          <w:rFonts w:ascii="Arial" w:hAnsi="Arial" w:cs="Arial"/>
          <w:b/>
        </w:rPr>
        <w:t>:</w:t>
      </w:r>
    </w:p>
    <w:tbl>
      <w:tblPr>
        <w:tblStyle w:val="Tabelacomgrelha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31"/>
        <w:gridCol w:w="1747"/>
        <w:gridCol w:w="1747"/>
      </w:tblGrid>
      <w:tr w:rsidR="00DC615C" w:rsidTr="00DC615C">
        <w:trPr>
          <w:trHeight w:val="696"/>
          <w:tblHeader/>
          <w:jc w:val="center"/>
        </w:trPr>
        <w:tc>
          <w:tcPr>
            <w:tcW w:w="6331" w:type="dxa"/>
            <w:vAlign w:val="center"/>
          </w:tcPr>
          <w:p w:rsidR="00DC615C" w:rsidRPr="00DC615C" w:rsidRDefault="00DC615C" w:rsidP="00AA59B0">
            <w:pPr>
              <w:jc w:val="center"/>
              <w:rPr>
                <w:rFonts w:ascii="Arial" w:hAnsi="Arial" w:cs="Arial"/>
              </w:rPr>
            </w:pPr>
            <w:r w:rsidRPr="00DC615C">
              <w:rPr>
                <w:rFonts w:ascii="Arial" w:hAnsi="Arial" w:cs="Arial"/>
                <w:i/>
              </w:rPr>
              <w:t>Metas Curriculares</w:t>
            </w:r>
            <w:r w:rsidRPr="00DC615C">
              <w:rPr>
                <w:rFonts w:ascii="Arial" w:hAnsi="Arial" w:cs="Arial"/>
              </w:rPr>
              <w:t xml:space="preserve"> – </w:t>
            </w:r>
            <w:r w:rsidRPr="00DC615C">
              <w:rPr>
                <w:rFonts w:ascii="Arial" w:hAnsi="Arial" w:cs="Arial"/>
                <w:i/>
              </w:rPr>
              <w:t>Ciências Naturais</w:t>
            </w:r>
            <w:r w:rsidRPr="00DC615C">
              <w:rPr>
                <w:rFonts w:ascii="Arial" w:hAnsi="Arial" w:cs="Arial"/>
                <w:i/>
              </w:rPr>
              <w:t xml:space="preserve"> – 9º ano</w:t>
            </w:r>
          </w:p>
        </w:tc>
        <w:tc>
          <w:tcPr>
            <w:tcW w:w="1747" w:type="dxa"/>
            <w:tcBorders>
              <w:right w:val="dashed" w:sz="4" w:space="0" w:color="auto"/>
            </w:tcBorders>
            <w:vAlign w:val="center"/>
          </w:tcPr>
          <w:p w:rsidR="00DC615C" w:rsidRPr="0085412C" w:rsidRDefault="00DC615C" w:rsidP="00AA5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12C">
              <w:rPr>
                <w:rFonts w:ascii="Arial" w:hAnsi="Arial" w:cs="Arial"/>
                <w:sz w:val="18"/>
                <w:szCs w:val="18"/>
              </w:rPr>
              <w:t>Complexidade das capacidades cognitivas</w:t>
            </w:r>
          </w:p>
        </w:tc>
        <w:tc>
          <w:tcPr>
            <w:tcW w:w="1747" w:type="dxa"/>
            <w:tcBorders>
              <w:left w:val="dashed" w:sz="4" w:space="0" w:color="auto"/>
            </w:tcBorders>
            <w:vAlign w:val="center"/>
          </w:tcPr>
          <w:p w:rsidR="00DC615C" w:rsidRPr="0085412C" w:rsidRDefault="00DC615C" w:rsidP="00AA5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12C">
              <w:rPr>
                <w:rFonts w:ascii="Arial" w:hAnsi="Arial" w:cs="Arial"/>
                <w:sz w:val="18"/>
                <w:szCs w:val="18"/>
              </w:rPr>
              <w:t>Complexidade dos conhecimentos científicos</w:t>
            </w:r>
          </w:p>
        </w:tc>
      </w:tr>
      <w:tr w:rsidR="00DC615C" w:rsidTr="00DC615C">
        <w:trPr>
          <w:jc w:val="center"/>
        </w:trPr>
        <w:tc>
          <w:tcPr>
            <w:tcW w:w="6331" w:type="dxa"/>
            <w:shd w:val="clear" w:color="auto" w:fill="D9D9D9" w:themeFill="background1" w:themeFillShade="D9"/>
            <w:vAlign w:val="center"/>
          </w:tcPr>
          <w:p w:rsidR="00DC615C" w:rsidRPr="00DC615C" w:rsidRDefault="00DC615C" w:rsidP="00DC615C">
            <w:pPr>
              <w:pStyle w:val="Default"/>
              <w:spacing w:after="60"/>
              <w:rPr>
                <w:sz w:val="22"/>
                <w:szCs w:val="22"/>
              </w:rPr>
            </w:pPr>
            <w:r w:rsidRPr="00DC615C">
              <w:rPr>
                <w:i/>
                <w:iCs/>
                <w:sz w:val="22"/>
                <w:szCs w:val="22"/>
              </w:rPr>
              <w:t>11. Compreender a importância da função excretora na regulação do organismo humano</w:t>
            </w:r>
            <w:r w:rsidRPr="00DC615C">
              <w:rPr>
                <w:i/>
                <w:iCs/>
                <w:sz w:val="22"/>
                <w:szCs w:val="22"/>
              </w:rPr>
              <w:t xml:space="preserve"> </w:t>
            </w:r>
            <w:r w:rsidRPr="00DC615C">
              <w:rPr>
                <w:iCs/>
                <w:sz w:val="22"/>
                <w:szCs w:val="22"/>
              </w:rPr>
              <w:t>(p.</w:t>
            </w:r>
            <w:r w:rsidRPr="00DC615C">
              <w:rPr>
                <w:iCs/>
                <w:sz w:val="22"/>
                <w:szCs w:val="22"/>
              </w:rPr>
              <w:t>6</w:t>
            </w:r>
            <w:r w:rsidRPr="00DC615C"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C615C" w:rsidRPr="003970CC" w:rsidRDefault="00DC615C" w:rsidP="00AA59B0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C615C" w:rsidRPr="003970CC" w:rsidRDefault="00DC615C" w:rsidP="00AA59B0">
            <w:pPr>
              <w:rPr>
                <w:rFonts w:ascii="Arial" w:hAnsi="Arial" w:cs="Arial"/>
              </w:rPr>
            </w:pPr>
          </w:p>
        </w:tc>
      </w:tr>
      <w:tr w:rsidR="00DC615C" w:rsidTr="00DC615C">
        <w:trPr>
          <w:jc w:val="center"/>
        </w:trPr>
        <w:tc>
          <w:tcPr>
            <w:tcW w:w="6331" w:type="dxa"/>
            <w:vAlign w:val="center"/>
          </w:tcPr>
          <w:p w:rsidR="00DC615C" w:rsidRPr="00DC615C" w:rsidRDefault="00DC615C" w:rsidP="00DC615C">
            <w:pPr>
              <w:pStyle w:val="Default"/>
              <w:spacing w:after="60"/>
              <w:rPr>
                <w:sz w:val="22"/>
                <w:szCs w:val="22"/>
              </w:rPr>
            </w:pPr>
            <w:r w:rsidRPr="00DC615C">
              <w:rPr>
                <w:sz w:val="22"/>
                <w:szCs w:val="22"/>
              </w:rPr>
              <w:t xml:space="preserve">11.1. Caraterizar os constituintes do sistema urinário. </w:t>
            </w:r>
          </w:p>
        </w:tc>
        <w:tc>
          <w:tcPr>
            <w:tcW w:w="1747" w:type="dxa"/>
            <w:tcBorders>
              <w:right w:val="dashed" w:sz="4" w:space="0" w:color="auto"/>
            </w:tcBorders>
            <w:vAlign w:val="center"/>
          </w:tcPr>
          <w:p w:rsidR="00DC615C" w:rsidRPr="003970CC" w:rsidRDefault="00DC615C" w:rsidP="00AA59B0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left w:val="dashed" w:sz="4" w:space="0" w:color="auto"/>
            </w:tcBorders>
            <w:vAlign w:val="center"/>
          </w:tcPr>
          <w:p w:rsidR="00DC615C" w:rsidRDefault="00DC615C" w:rsidP="00AA59B0">
            <w:pPr>
              <w:rPr>
                <w:rFonts w:ascii="Arial" w:hAnsi="Arial" w:cs="Arial"/>
              </w:rPr>
            </w:pPr>
          </w:p>
        </w:tc>
      </w:tr>
      <w:tr w:rsidR="00DC615C" w:rsidTr="00DC615C">
        <w:trPr>
          <w:jc w:val="center"/>
        </w:trPr>
        <w:tc>
          <w:tcPr>
            <w:tcW w:w="6331" w:type="dxa"/>
            <w:vAlign w:val="center"/>
          </w:tcPr>
          <w:p w:rsidR="00DC615C" w:rsidRPr="00DC615C" w:rsidRDefault="00DC615C" w:rsidP="00DC615C">
            <w:pPr>
              <w:pStyle w:val="Default"/>
              <w:spacing w:after="60"/>
              <w:rPr>
                <w:sz w:val="22"/>
                <w:szCs w:val="22"/>
              </w:rPr>
            </w:pPr>
            <w:r w:rsidRPr="00DC615C">
              <w:rPr>
                <w:sz w:val="22"/>
                <w:szCs w:val="22"/>
              </w:rPr>
              <w:t xml:space="preserve">11.2. Referir o papel do sistema urinário na regulação do organismo. </w:t>
            </w:r>
          </w:p>
        </w:tc>
        <w:tc>
          <w:tcPr>
            <w:tcW w:w="1747" w:type="dxa"/>
            <w:tcBorders>
              <w:right w:val="dashed" w:sz="4" w:space="0" w:color="auto"/>
            </w:tcBorders>
            <w:vAlign w:val="center"/>
          </w:tcPr>
          <w:p w:rsidR="00DC615C" w:rsidRDefault="00DC615C" w:rsidP="00AA59B0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left w:val="dashed" w:sz="4" w:space="0" w:color="auto"/>
            </w:tcBorders>
            <w:vAlign w:val="center"/>
          </w:tcPr>
          <w:p w:rsidR="00DC615C" w:rsidRPr="003970CC" w:rsidRDefault="00DC615C" w:rsidP="00AA59B0">
            <w:pPr>
              <w:rPr>
                <w:rFonts w:ascii="Arial" w:hAnsi="Arial" w:cs="Arial"/>
              </w:rPr>
            </w:pPr>
          </w:p>
        </w:tc>
      </w:tr>
      <w:tr w:rsidR="00DC615C" w:rsidTr="00DC615C">
        <w:trPr>
          <w:jc w:val="center"/>
        </w:trPr>
        <w:tc>
          <w:tcPr>
            <w:tcW w:w="6331" w:type="dxa"/>
            <w:vAlign w:val="center"/>
          </w:tcPr>
          <w:p w:rsidR="00DC615C" w:rsidRPr="00DC615C" w:rsidRDefault="00DC615C" w:rsidP="00DC615C">
            <w:pPr>
              <w:pStyle w:val="Default"/>
              <w:spacing w:after="60"/>
              <w:rPr>
                <w:sz w:val="22"/>
                <w:szCs w:val="22"/>
              </w:rPr>
            </w:pPr>
            <w:r w:rsidRPr="00DC615C">
              <w:rPr>
                <w:sz w:val="22"/>
                <w:szCs w:val="22"/>
              </w:rPr>
              <w:t xml:space="preserve">11.3. Ilustrar a anatomia e a morfologia do rim, a partir de uma atividade laboratorial. </w:t>
            </w:r>
          </w:p>
        </w:tc>
        <w:tc>
          <w:tcPr>
            <w:tcW w:w="1747" w:type="dxa"/>
            <w:tcBorders>
              <w:right w:val="dashed" w:sz="4" w:space="0" w:color="auto"/>
            </w:tcBorders>
            <w:vAlign w:val="center"/>
          </w:tcPr>
          <w:p w:rsidR="00DC615C" w:rsidRDefault="00DC615C" w:rsidP="00AA59B0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left w:val="dashed" w:sz="4" w:space="0" w:color="auto"/>
            </w:tcBorders>
            <w:vAlign w:val="center"/>
          </w:tcPr>
          <w:p w:rsidR="00DC615C" w:rsidRDefault="00DC615C" w:rsidP="00AA59B0">
            <w:pPr>
              <w:rPr>
                <w:rFonts w:ascii="Arial" w:hAnsi="Arial" w:cs="Arial"/>
              </w:rPr>
            </w:pPr>
          </w:p>
        </w:tc>
      </w:tr>
      <w:tr w:rsidR="00DC615C" w:rsidTr="00DC615C">
        <w:trPr>
          <w:jc w:val="center"/>
        </w:trPr>
        <w:tc>
          <w:tcPr>
            <w:tcW w:w="6331" w:type="dxa"/>
            <w:vAlign w:val="center"/>
          </w:tcPr>
          <w:p w:rsidR="00DC615C" w:rsidRPr="00DC615C" w:rsidRDefault="00DC615C" w:rsidP="00DC615C">
            <w:pPr>
              <w:pStyle w:val="Default"/>
              <w:spacing w:after="60"/>
              <w:rPr>
                <w:sz w:val="22"/>
                <w:szCs w:val="22"/>
              </w:rPr>
            </w:pPr>
            <w:r w:rsidRPr="00DC615C">
              <w:rPr>
                <w:sz w:val="22"/>
                <w:szCs w:val="22"/>
              </w:rPr>
              <w:t xml:space="preserve">11.4. Descrever a unidade funcional do rim. </w:t>
            </w:r>
          </w:p>
        </w:tc>
        <w:tc>
          <w:tcPr>
            <w:tcW w:w="1747" w:type="dxa"/>
            <w:tcBorders>
              <w:right w:val="dashed" w:sz="4" w:space="0" w:color="auto"/>
            </w:tcBorders>
            <w:vAlign w:val="center"/>
          </w:tcPr>
          <w:p w:rsidR="00DC615C" w:rsidRDefault="00DC615C" w:rsidP="00AA59B0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left w:val="dashed" w:sz="4" w:space="0" w:color="auto"/>
            </w:tcBorders>
            <w:vAlign w:val="center"/>
          </w:tcPr>
          <w:p w:rsidR="00DC615C" w:rsidRPr="003970CC" w:rsidRDefault="00DC615C" w:rsidP="00AA59B0">
            <w:pPr>
              <w:rPr>
                <w:rFonts w:ascii="Arial" w:hAnsi="Arial" w:cs="Arial"/>
              </w:rPr>
            </w:pPr>
          </w:p>
        </w:tc>
      </w:tr>
      <w:tr w:rsidR="00DC615C" w:rsidTr="00DC615C">
        <w:trPr>
          <w:jc w:val="center"/>
        </w:trPr>
        <w:tc>
          <w:tcPr>
            <w:tcW w:w="6331" w:type="dxa"/>
            <w:vAlign w:val="center"/>
          </w:tcPr>
          <w:p w:rsidR="00DC615C" w:rsidRPr="00DC615C" w:rsidRDefault="00DC615C" w:rsidP="00DC615C">
            <w:pPr>
              <w:pStyle w:val="Default"/>
              <w:spacing w:after="60"/>
              <w:rPr>
                <w:sz w:val="22"/>
                <w:szCs w:val="22"/>
              </w:rPr>
            </w:pPr>
            <w:r w:rsidRPr="00DC615C">
              <w:rPr>
                <w:sz w:val="22"/>
                <w:szCs w:val="22"/>
              </w:rPr>
              <w:t xml:space="preserve">11.5. Resumir o processo de formação da urina. </w:t>
            </w:r>
          </w:p>
        </w:tc>
        <w:tc>
          <w:tcPr>
            <w:tcW w:w="1747" w:type="dxa"/>
            <w:tcBorders>
              <w:right w:val="dashed" w:sz="4" w:space="0" w:color="auto"/>
            </w:tcBorders>
            <w:vAlign w:val="center"/>
          </w:tcPr>
          <w:p w:rsidR="00DC615C" w:rsidRDefault="00DC615C" w:rsidP="00AA59B0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left w:val="dashed" w:sz="4" w:space="0" w:color="auto"/>
            </w:tcBorders>
            <w:vAlign w:val="center"/>
          </w:tcPr>
          <w:p w:rsidR="00DC615C" w:rsidRDefault="00DC615C" w:rsidP="00AA59B0">
            <w:pPr>
              <w:rPr>
                <w:rFonts w:ascii="Arial" w:hAnsi="Arial" w:cs="Arial"/>
              </w:rPr>
            </w:pPr>
          </w:p>
        </w:tc>
      </w:tr>
      <w:tr w:rsidR="00DC615C" w:rsidTr="00DC615C">
        <w:trPr>
          <w:jc w:val="center"/>
        </w:trPr>
        <w:tc>
          <w:tcPr>
            <w:tcW w:w="6331" w:type="dxa"/>
            <w:shd w:val="clear" w:color="auto" w:fill="FFFFFF" w:themeFill="background1"/>
            <w:vAlign w:val="center"/>
          </w:tcPr>
          <w:p w:rsidR="00DC615C" w:rsidRPr="00DC615C" w:rsidRDefault="00DC615C" w:rsidP="00DC615C">
            <w:pPr>
              <w:pStyle w:val="Default"/>
              <w:spacing w:after="60"/>
              <w:rPr>
                <w:sz w:val="22"/>
                <w:szCs w:val="22"/>
              </w:rPr>
            </w:pPr>
            <w:r w:rsidRPr="00DC615C">
              <w:rPr>
                <w:sz w:val="22"/>
                <w:szCs w:val="22"/>
              </w:rPr>
              <w:t xml:space="preserve">11.6. Justificar o modo como alguns fatores podem influenciar a formação da urina. </w:t>
            </w:r>
          </w:p>
        </w:tc>
        <w:tc>
          <w:tcPr>
            <w:tcW w:w="1747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DC615C" w:rsidRDefault="00DC615C" w:rsidP="00AA59B0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DC615C" w:rsidRDefault="00DC615C" w:rsidP="00AA59B0">
            <w:pPr>
              <w:rPr>
                <w:rFonts w:ascii="Arial" w:hAnsi="Arial" w:cs="Arial"/>
              </w:rPr>
            </w:pPr>
          </w:p>
        </w:tc>
      </w:tr>
      <w:tr w:rsidR="00DC615C" w:rsidTr="00DC615C">
        <w:trPr>
          <w:jc w:val="center"/>
        </w:trPr>
        <w:tc>
          <w:tcPr>
            <w:tcW w:w="6331" w:type="dxa"/>
            <w:vAlign w:val="center"/>
          </w:tcPr>
          <w:p w:rsidR="00DC615C" w:rsidRPr="00DC615C" w:rsidRDefault="00DC615C" w:rsidP="00DC615C">
            <w:pPr>
              <w:pStyle w:val="Default"/>
              <w:spacing w:after="60"/>
              <w:rPr>
                <w:sz w:val="22"/>
                <w:szCs w:val="22"/>
              </w:rPr>
            </w:pPr>
            <w:r w:rsidRPr="00DC615C">
              <w:rPr>
                <w:sz w:val="22"/>
                <w:szCs w:val="22"/>
              </w:rPr>
              <w:t xml:space="preserve">11.7. Descrever dois contributos da ciência e da tecnologia para minimizar problemas associados à função renal. </w:t>
            </w:r>
          </w:p>
        </w:tc>
        <w:tc>
          <w:tcPr>
            <w:tcW w:w="1747" w:type="dxa"/>
            <w:tcBorders>
              <w:right w:val="dashed" w:sz="4" w:space="0" w:color="auto"/>
            </w:tcBorders>
            <w:vAlign w:val="center"/>
          </w:tcPr>
          <w:p w:rsidR="00DC615C" w:rsidRDefault="00DC615C" w:rsidP="00AA59B0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left w:val="dashed" w:sz="4" w:space="0" w:color="auto"/>
            </w:tcBorders>
            <w:vAlign w:val="center"/>
          </w:tcPr>
          <w:p w:rsidR="00DC615C" w:rsidRDefault="00DC615C" w:rsidP="00AA59B0">
            <w:pPr>
              <w:rPr>
                <w:rFonts w:ascii="Arial" w:hAnsi="Arial" w:cs="Arial"/>
              </w:rPr>
            </w:pPr>
          </w:p>
        </w:tc>
      </w:tr>
      <w:tr w:rsidR="00DC615C" w:rsidTr="00DC615C">
        <w:trPr>
          <w:jc w:val="center"/>
        </w:trPr>
        <w:tc>
          <w:tcPr>
            <w:tcW w:w="6331" w:type="dxa"/>
            <w:vAlign w:val="center"/>
          </w:tcPr>
          <w:p w:rsidR="00DC615C" w:rsidRPr="00DC615C" w:rsidRDefault="00DC615C" w:rsidP="00DC615C">
            <w:pPr>
              <w:pStyle w:val="Default"/>
              <w:spacing w:after="60"/>
              <w:rPr>
                <w:sz w:val="22"/>
                <w:szCs w:val="22"/>
              </w:rPr>
            </w:pPr>
            <w:r w:rsidRPr="00DC615C">
              <w:rPr>
                <w:sz w:val="22"/>
                <w:szCs w:val="22"/>
              </w:rPr>
              <w:t xml:space="preserve">11.8. Descrever a pele e as suas estruturas anexas. </w:t>
            </w:r>
          </w:p>
        </w:tc>
        <w:tc>
          <w:tcPr>
            <w:tcW w:w="1747" w:type="dxa"/>
            <w:tcBorders>
              <w:right w:val="dashed" w:sz="4" w:space="0" w:color="auto"/>
            </w:tcBorders>
            <w:vAlign w:val="center"/>
          </w:tcPr>
          <w:p w:rsidR="00DC615C" w:rsidRDefault="00DC615C" w:rsidP="00AA59B0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left w:val="dashed" w:sz="4" w:space="0" w:color="auto"/>
            </w:tcBorders>
            <w:vAlign w:val="center"/>
          </w:tcPr>
          <w:p w:rsidR="00DC615C" w:rsidRDefault="00DC615C" w:rsidP="00AA59B0">
            <w:pPr>
              <w:rPr>
                <w:rFonts w:ascii="Arial" w:hAnsi="Arial" w:cs="Arial"/>
              </w:rPr>
            </w:pPr>
          </w:p>
        </w:tc>
      </w:tr>
      <w:tr w:rsidR="00DC615C" w:rsidTr="00DC615C">
        <w:trPr>
          <w:jc w:val="center"/>
        </w:trPr>
        <w:tc>
          <w:tcPr>
            <w:tcW w:w="6331" w:type="dxa"/>
            <w:vAlign w:val="center"/>
          </w:tcPr>
          <w:p w:rsidR="00DC615C" w:rsidRPr="00DC615C" w:rsidRDefault="00DC615C" w:rsidP="00DC615C">
            <w:pPr>
              <w:pStyle w:val="Default"/>
              <w:spacing w:after="60"/>
              <w:rPr>
                <w:sz w:val="22"/>
                <w:szCs w:val="22"/>
              </w:rPr>
            </w:pPr>
            <w:r w:rsidRPr="00DC615C">
              <w:rPr>
                <w:sz w:val="22"/>
                <w:szCs w:val="22"/>
              </w:rPr>
              <w:t xml:space="preserve">11.9. Referir as funções da pele. </w:t>
            </w:r>
          </w:p>
        </w:tc>
        <w:tc>
          <w:tcPr>
            <w:tcW w:w="1747" w:type="dxa"/>
            <w:tcBorders>
              <w:right w:val="dashed" w:sz="4" w:space="0" w:color="auto"/>
            </w:tcBorders>
            <w:vAlign w:val="center"/>
          </w:tcPr>
          <w:p w:rsidR="00DC615C" w:rsidRDefault="00DC615C" w:rsidP="00AA59B0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left w:val="dashed" w:sz="4" w:space="0" w:color="auto"/>
            </w:tcBorders>
            <w:vAlign w:val="center"/>
          </w:tcPr>
          <w:p w:rsidR="00DC615C" w:rsidRDefault="00DC615C" w:rsidP="00AA59B0">
            <w:pPr>
              <w:rPr>
                <w:rFonts w:ascii="Arial" w:hAnsi="Arial" w:cs="Arial"/>
              </w:rPr>
            </w:pPr>
          </w:p>
        </w:tc>
      </w:tr>
      <w:tr w:rsidR="00DC615C" w:rsidTr="00DC615C">
        <w:trPr>
          <w:jc w:val="center"/>
        </w:trPr>
        <w:tc>
          <w:tcPr>
            <w:tcW w:w="6331" w:type="dxa"/>
            <w:vAlign w:val="center"/>
          </w:tcPr>
          <w:p w:rsidR="00DC615C" w:rsidRPr="00DC615C" w:rsidRDefault="00DC615C" w:rsidP="00DC615C">
            <w:pPr>
              <w:pStyle w:val="Default"/>
              <w:spacing w:after="60"/>
              <w:rPr>
                <w:sz w:val="22"/>
                <w:szCs w:val="22"/>
              </w:rPr>
            </w:pPr>
            <w:r w:rsidRPr="00DC615C">
              <w:rPr>
                <w:sz w:val="22"/>
                <w:szCs w:val="22"/>
              </w:rPr>
              <w:t>11.10. Caraterizar, sumariamente, três doenças dos sistemas excretores.</w:t>
            </w:r>
          </w:p>
        </w:tc>
        <w:tc>
          <w:tcPr>
            <w:tcW w:w="1747" w:type="dxa"/>
            <w:tcBorders>
              <w:right w:val="dashed" w:sz="4" w:space="0" w:color="auto"/>
            </w:tcBorders>
            <w:vAlign w:val="center"/>
          </w:tcPr>
          <w:p w:rsidR="00DC615C" w:rsidRDefault="00DC615C" w:rsidP="00AA59B0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left w:val="dashed" w:sz="4" w:space="0" w:color="auto"/>
            </w:tcBorders>
            <w:vAlign w:val="center"/>
          </w:tcPr>
          <w:p w:rsidR="00DC615C" w:rsidRDefault="00DC615C" w:rsidP="00AA59B0">
            <w:pPr>
              <w:rPr>
                <w:rFonts w:ascii="Arial" w:hAnsi="Arial" w:cs="Arial"/>
              </w:rPr>
            </w:pPr>
          </w:p>
        </w:tc>
      </w:tr>
      <w:tr w:rsidR="00DC615C" w:rsidTr="00DC615C">
        <w:trPr>
          <w:jc w:val="center"/>
        </w:trPr>
        <w:tc>
          <w:tcPr>
            <w:tcW w:w="6331" w:type="dxa"/>
            <w:vAlign w:val="center"/>
          </w:tcPr>
          <w:p w:rsidR="00DC615C" w:rsidRPr="00DC615C" w:rsidRDefault="00DC615C" w:rsidP="00DC615C">
            <w:pPr>
              <w:pStyle w:val="Default"/>
              <w:spacing w:after="60"/>
              <w:rPr>
                <w:sz w:val="22"/>
                <w:szCs w:val="22"/>
              </w:rPr>
            </w:pPr>
            <w:r w:rsidRPr="00DC615C">
              <w:rPr>
                <w:sz w:val="22"/>
                <w:szCs w:val="22"/>
              </w:rPr>
              <w:t xml:space="preserve">11.11. Indicar medidas que visem contribuir para o bom funcionamento da função excretora. </w:t>
            </w:r>
          </w:p>
        </w:tc>
        <w:tc>
          <w:tcPr>
            <w:tcW w:w="1747" w:type="dxa"/>
            <w:tcBorders>
              <w:right w:val="dashed" w:sz="4" w:space="0" w:color="auto"/>
            </w:tcBorders>
            <w:vAlign w:val="center"/>
          </w:tcPr>
          <w:p w:rsidR="00DC615C" w:rsidRDefault="00DC615C" w:rsidP="00AA59B0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left w:val="dashed" w:sz="4" w:space="0" w:color="auto"/>
            </w:tcBorders>
            <w:vAlign w:val="center"/>
          </w:tcPr>
          <w:p w:rsidR="00DC615C" w:rsidRDefault="00DC615C" w:rsidP="00AA59B0">
            <w:pPr>
              <w:rPr>
                <w:rFonts w:ascii="Arial" w:hAnsi="Arial" w:cs="Arial"/>
              </w:rPr>
            </w:pPr>
          </w:p>
        </w:tc>
      </w:tr>
    </w:tbl>
    <w:p w:rsidR="00DC615C" w:rsidRDefault="000B406D" w:rsidP="000B406D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DC615C">
        <w:rPr>
          <w:rFonts w:ascii="Arial" w:hAnsi="Arial" w:cs="Arial"/>
          <w:b/>
        </w:rPr>
        <w:t>Reflexão:</w:t>
      </w:r>
    </w:p>
    <w:tbl>
      <w:tblPr>
        <w:tblStyle w:val="Tabelacomgrelha"/>
        <w:tblW w:w="0" w:type="auto"/>
        <w:tblLook w:val="04A0"/>
      </w:tblPr>
      <w:tblGrid>
        <w:gridCol w:w="9778"/>
      </w:tblGrid>
      <w:tr w:rsidR="00DC615C" w:rsidTr="000B406D">
        <w:tc>
          <w:tcPr>
            <w:tcW w:w="9778" w:type="dxa"/>
            <w:tcBorders>
              <w:left w:val="nil"/>
              <w:bottom w:val="nil"/>
              <w:right w:val="nil"/>
            </w:tcBorders>
          </w:tcPr>
          <w:p w:rsidR="00DC615C" w:rsidRPr="00DC615C" w:rsidRDefault="00DC615C" w:rsidP="000B406D">
            <w:pPr>
              <w:pStyle w:val="PargrafodaLista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B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Breve c</w:t>
            </w:r>
            <w:r w:rsidRPr="00846B34">
              <w:rPr>
                <w:rFonts w:ascii="Times New Roman" w:hAnsi="Times New Roman" w:cs="Times New Roman"/>
                <w:sz w:val="20"/>
                <w:szCs w:val="20"/>
              </w:rPr>
              <w:t xml:space="preserve">omentário sobre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nível de exigência conceptual presente nas unidades analisadas e sobre o seu impacto na aprendizagem nos alunos</w:t>
            </w:r>
            <w:r w:rsidR="000B406D">
              <w:rPr>
                <w:rFonts w:ascii="Times New Roman" w:hAnsi="Times New Roman" w:cs="Times New Roman"/>
                <w:sz w:val="20"/>
                <w:szCs w:val="20"/>
              </w:rPr>
              <w:t>: máximo de 100 palavras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DC615C" w:rsidRDefault="00DC615C" w:rsidP="00472431">
      <w:pPr>
        <w:spacing w:after="120" w:line="360" w:lineRule="auto"/>
        <w:rPr>
          <w:rFonts w:ascii="Arial" w:hAnsi="Arial" w:cs="Arial"/>
          <w:b/>
        </w:rPr>
      </w:pPr>
    </w:p>
    <w:p w:rsidR="00DC615C" w:rsidRDefault="00DC615C" w:rsidP="00472431">
      <w:pPr>
        <w:spacing w:after="120" w:line="360" w:lineRule="auto"/>
        <w:rPr>
          <w:rFonts w:ascii="Arial" w:hAnsi="Arial" w:cs="Arial"/>
          <w:b/>
        </w:rPr>
      </w:pPr>
    </w:p>
    <w:p w:rsidR="00DC615C" w:rsidRDefault="00DC615C" w:rsidP="00472431">
      <w:pPr>
        <w:spacing w:after="120" w:line="360" w:lineRule="auto"/>
        <w:rPr>
          <w:rFonts w:ascii="Arial" w:hAnsi="Arial" w:cs="Arial"/>
          <w:b/>
        </w:rPr>
      </w:pPr>
    </w:p>
    <w:p w:rsidR="00DC615C" w:rsidRDefault="00DC615C" w:rsidP="00472431">
      <w:pPr>
        <w:spacing w:after="120" w:line="360" w:lineRule="auto"/>
        <w:rPr>
          <w:rFonts w:ascii="Arial" w:hAnsi="Arial" w:cs="Arial"/>
          <w:b/>
        </w:rPr>
      </w:pPr>
    </w:p>
    <w:p w:rsidR="00DC615C" w:rsidRDefault="00DC615C" w:rsidP="00472431">
      <w:pPr>
        <w:spacing w:after="120" w:line="360" w:lineRule="auto"/>
        <w:rPr>
          <w:rFonts w:ascii="Arial" w:hAnsi="Arial" w:cs="Arial"/>
          <w:b/>
        </w:rPr>
      </w:pPr>
    </w:p>
    <w:p w:rsidR="000B406D" w:rsidRDefault="000B406D" w:rsidP="00DC615C">
      <w:pPr>
        <w:spacing w:line="360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0B406D" w:rsidRDefault="000B406D" w:rsidP="00DC615C">
      <w:pPr>
        <w:spacing w:line="360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0B406D" w:rsidRDefault="000B406D" w:rsidP="00DC615C">
      <w:pPr>
        <w:spacing w:line="360" w:lineRule="auto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0B406D" w:rsidRPr="000B406D" w:rsidRDefault="000B406D" w:rsidP="00DC615C">
      <w:pPr>
        <w:spacing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B406D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Nota</w:t>
      </w:r>
      <w:r w:rsidRPr="000B406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Envio do trabalho até ao dia 10 de novembro, para </w:t>
      </w:r>
      <w:r w:rsidR="00B42F11">
        <w:rPr>
          <w:rFonts w:ascii="Arial" w:hAnsi="Arial" w:cs="Arial"/>
          <w:color w:val="222222"/>
          <w:sz w:val="20"/>
          <w:szCs w:val="20"/>
          <w:shd w:val="clear" w:color="auto" w:fill="FFFFFF"/>
        </w:rPr>
        <w:t>&lt;</w:t>
      </w:r>
      <w:r w:rsidRPr="00B42F11">
        <w:rPr>
          <w:rFonts w:ascii="Arial" w:hAnsi="Arial" w:cs="Arial"/>
          <w:color w:val="222222"/>
          <w:sz w:val="20"/>
          <w:szCs w:val="20"/>
          <w:shd w:val="clear" w:color="auto" w:fill="FFFFFF"/>
        </w:rPr>
        <w:t>silvia.ferreira@cnedu.pt</w:t>
      </w:r>
      <w:r w:rsidR="00B42F11">
        <w:rPr>
          <w:rFonts w:ascii="Arial" w:hAnsi="Arial" w:cs="Arial"/>
          <w:color w:val="222222"/>
          <w:sz w:val="20"/>
          <w:szCs w:val="20"/>
          <w:shd w:val="clear" w:color="auto" w:fill="FFFFFF"/>
        </w:rPr>
        <w:t>&gt;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sectPr w:rsidR="000B406D" w:rsidRPr="000B406D" w:rsidSect="000B406D">
      <w:headerReference w:type="default" r:id="rId8"/>
      <w:footerReference w:type="default" r:id="rId9"/>
      <w:pgSz w:w="11906" w:h="16838"/>
      <w:pgMar w:top="1134" w:right="1134" w:bottom="964" w:left="1134" w:header="88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329" w:rsidRDefault="00BC0329">
      <w:r>
        <w:separator/>
      </w:r>
    </w:p>
  </w:endnote>
  <w:endnote w:type="continuationSeparator" w:id="0">
    <w:p w:rsidR="00BC0329" w:rsidRDefault="00BC0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D6" w:rsidRPr="006E7181" w:rsidRDefault="004411D6" w:rsidP="006E7181">
    <w:pPr>
      <w:pBdr>
        <w:top w:val="single" w:sz="4" w:space="1" w:color="auto"/>
      </w:pBdr>
      <w:rPr>
        <w:sz w:val="4"/>
        <w:szCs w:val="4"/>
      </w:rPr>
    </w:pPr>
  </w:p>
  <w:p w:rsidR="004411D6" w:rsidRPr="00031E99" w:rsidRDefault="004411D6" w:rsidP="00A038F0">
    <w:pPr>
      <w:jc w:val="center"/>
      <w:rPr>
        <w:sz w:val="16"/>
        <w:szCs w:val="16"/>
      </w:rPr>
    </w:pPr>
    <w:r w:rsidRPr="00031E99">
      <w:rPr>
        <w:sz w:val="16"/>
        <w:szCs w:val="16"/>
      </w:rPr>
      <w:t>C</w:t>
    </w:r>
    <w:r>
      <w:rPr>
        <w:sz w:val="16"/>
        <w:szCs w:val="16"/>
      </w:rPr>
      <w:t>entro de Formação</w:t>
    </w:r>
    <w:r w:rsidRPr="00031E99">
      <w:rPr>
        <w:sz w:val="16"/>
        <w:szCs w:val="16"/>
      </w:rPr>
      <w:t xml:space="preserve"> </w:t>
    </w:r>
    <w:r w:rsidR="00A038F0">
      <w:rPr>
        <w:sz w:val="16"/>
        <w:szCs w:val="16"/>
      </w:rPr>
      <w:t xml:space="preserve">A. E. </w:t>
    </w:r>
    <w:r w:rsidRPr="00031E99">
      <w:rPr>
        <w:sz w:val="16"/>
        <w:szCs w:val="16"/>
      </w:rPr>
      <w:t>Pêro de Alenquer – Av. Dr</w:t>
    </w:r>
    <w:r w:rsidR="00101A0A">
      <w:rPr>
        <w:sz w:val="16"/>
        <w:szCs w:val="16"/>
      </w:rPr>
      <w:t xml:space="preserve">.º Teófilo Carvalho dos Santos </w:t>
    </w:r>
    <w:r w:rsidR="00101A0A" w:rsidRPr="00031E99">
      <w:rPr>
        <w:sz w:val="16"/>
        <w:szCs w:val="16"/>
      </w:rPr>
      <w:t>–</w:t>
    </w:r>
    <w:r w:rsidR="00101A0A">
      <w:rPr>
        <w:sz w:val="16"/>
        <w:szCs w:val="16"/>
      </w:rPr>
      <w:t xml:space="preserve"> </w:t>
    </w:r>
    <w:r w:rsidRPr="00031E99">
      <w:rPr>
        <w:sz w:val="16"/>
        <w:szCs w:val="16"/>
      </w:rPr>
      <w:t>258</w:t>
    </w:r>
    <w:r w:rsidR="00101A0A">
      <w:rPr>
        <w:sz w:val="16"/>
        <w:szCs w:val="16"/>
      </w:rPr>
      <w:t>0.</w:t>
    </w:r>
    <w:r w:rsidR="003458FF">
      <w:rPr>
        <w:sz w:val="16"/>
        <w:szCs w:val="16"/>
      </w:rPr>
      <w:t>564</w:t>
    </w:r>
    <w:r w:rsidRPr="00031E99">
      <w:rPr>
        <w:sz w:val="16"/>
        <w:szCs w:val="16"/>
      </w:rPr>
      <w:t xml:space="preserve"> Alenquer</w:t>
    </w:r>
  </w:p>
  <w:p w:rsidR="004411D6" w:rsidRPr="00301D0A" w:rsidRDefault="00C46D8A" w:rsidP="006E7181">
    <w:pPr>
      <w:jc w:val="center"/>
      <w:rPr>
        <w:i/>
        <w:sz w:val="16"/>
        <w:szCs w:val="16"/>
      </w:rPr>
    </w:pPr>
    <w:r w:rsidRPr="00031E99">
      <w:rPr>
        <w:sz w:val="16"/>
        <w:szCs w:val="16"/>
      </w:rPr>
      <w:t>Tel</w:t>
    </w:r>
    <w:r>
      <w:rPr>
        <w:sz w:val="16"/>
        <w:szCs w:val="16"/>
      </w:rPr>
      <w:t>.: 263 730 305 / 26</w:t>
    </w:r>
    <w:r w:rsidR="001E66EA">
      <w:rPr>
        <w:sz w:val="16"/>
        <w:szCs w:val="16"/>
      </w:rPr>
      <w:t xml:space="preserve">3 730 </w:t>
    </w:r>
    <w:proofErr w:type="gramStart"/>
    <w:r w:rsidR="001E66EA">
      <w:rPr>
        <w:sz w:val="16"/>
        <w:szCs w:val="16"/>
      </w:rPr>
      <w:t xml:space="preserve">306        </w:t>
    </w:r>
    <w:r>
      <w:rPr>
        <w:sz w:val="16"/>
        <w:szCs w:val="16"/>
      </w:rPr>
      <w:t xml:space="preserve">             </w:t>
    </w:r>
    <w:proofErr w:type="gramEnd"/>
    <w:hyperlink r:id="rId1" w:history="1">
      <w:r w:rsidR="001E66EA" w:rsidRPr="00C91D4C">
        <w:rPr>
          <w:rStyle w:val="Hiperligao"/>
          <w:sz w:val="16"/>
          <w:szCs w:val="16"/>
        </w:rPr>
        <w:t>cf.peroalenquer@gmail.com</w:t>
      </w:r>
    </w:hyperlink>
    <w:r w:rsidR="001E66EA">
      <w:rPr>
        <w:sz w:val="16"/>
        <w:szCs w:val="16"/>
      </w:rPr>
      <w:t xml:space="preserve"> </w:t>
    </w:r>
    <w:r w:rsidR="001E66EA">
      <w:t xml:space="preserve"> </w:t>
    </w:r>
    <w:r w:rsidRPr="00C46D8A">
      <w:t xml:space="preserve">  </w:t>
    </w:r>
    <w:r>
      <w:t xml:space="preserve">      </w:t>
    </w:r>
    <w:r w:rsidRPr="00C46D8A">
      <w:t xml:space="preserve">     </w:t>
    </w:r>
    <w:hyperlink r:id="rId2" w:history="1">
      <w:r w:rsidR="001E66EA" w:rsidRPr="00C91D4C">
        <w:rPr>
          <w:rStyle w:val="Hiperligao"/>
          <w:sz w:val="16"/>
          <w:szCs w:val="16"/>
        </w:rPr>
        <w:t>http://www.cfperoalenquer.pt</w:t>
      </w:r>
    </w:hyperlink>
    <w:r w:rsidR="001E66EA"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329" w:rsidRDefault="00BC0329">
      <w:r>
        <w:separator/>
      </w:r>
    </w:p>
  </w:footnote>
  <w:footnote w:type="continuationSeparator" w:id="0">
    <w:p w:rsidR="00BC0329" w:rsidRDefault="00BC0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6EA" w:rsidRDefault="001E66EA" w:rsidP="001E66EA">
    <w:pPr>
      <w:ind w:right="566" w:hanging="284"/>
      <w:rPr>
        <w:rFonts w:ascii="Browallia New" w:hAnsi="Browallia New" w:cs="Browallia New"/>
        <w:sz w:val="12"/>
        <w:szCs w:val="12"/>
      </w:rPr>
    </w:pPr>
    <w:r>
      <w:rPr>
        <w:rFonts w:ascii="Browallia New" w:hAnsi="Browallia New" w:cs="Browallia New"/>
        <w:noProof/>
        <w:sz w:val="12"/>
        <w:szCs w:val="1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5194935</wp:posOffset>
          </wp:positionH>
          <wp:positionV relativeFrom="margin">
            <wp:posOffset>-898782</wp:posOffset>
          </wp:positionV>
          <wp:extent cx="981075" cy="936882"/>
          <wp:effectExtent l="0" t="0" r="0" b="0"/>
          <wp:wrapNone/>
          <wp:docPr id="5" name="Imagem 2" descr="C:\Users\Silvia Ferreira\Documents\CNE_2014_2015\logo_C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ia Ferreira\Documents\CNE_2014_2015\logo_C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36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E66EA">
      <w:rPr>
        <w:rFonts w:ascii="Browallia New" w:hAnsi="Browallia New" w:cs="Browallia New"/>
        <w:noProof/>
        <w:sz w:val="12"/>
        <w:szCs w:val="12"/>
      </w:rPr>
      <w:drawing>
        <wp:inline distT="0" distB="0" distL="0" distR="0">
          <wp:extent cx="1590675" cy="381000"/>
          <wp:effectExtent l="19050" t="0" r="9525" b="0"/>
          <wp:docPr id="4" name="Imagem 4" descr="me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 descr="mec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9067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rowallia New" w:hAnsi="Browallia New" w:cs="Browallia New"/>
        <w:sz w:val="12"/>
        <w:szCs w:val="12"/>
      </w:rPr>
      <w:t xml:space="preserve">                                                     </w:t>
    </w:r>
    <w:r w:rsidRPr="001E66EA">
      <w:rPr>
        <w:rFonts w:ascii="Browallia New" w:hAnsi="Browallia New" w:cs="Browallia New"/>
        <w:noProof/>
        <w:sz w:val="12"/>
        <w:szCs w:val="12"/>
      </w:rPr>
      <w:drawing>
        <wp:inline distT="0" distB="0" distL="0" distR="0">
          <wp:extent cx="1619250" cy="514690"/>
          <wp:effectExtent l="19050" t="0" r="0" b="0"/>
          <wp:docPr id="6" name="Imagem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19250" cy="51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rowallia New" w:hAnsi="Browallia New" w:cs="Browallia New"/>
        <w:sz w:val="12"/>
        <w:szCs w:val="12"/>
      </w:rPr>
      <w:tab/>
    </w:r>
    <w:r>
      <w:rPr>
        <w:rFonts w:ascii="Browallia New" w:hAnsi="Browallia New" w:cs="Browallia New"/>
        <w:sz w:val="12"/>
        <w:szCs w:val="12"/>
      </w:rPr>
      <w:tab/>
    </w:r>
  </w:p>
  <w:p w:rsidR="001F4073" w:rsidRPr="001F4073" w:rsidRDefault="001E66EA" w:rsidP="001E66EA">
    <w:pPr>
      <w:rPr>
        <w:rFonts w:ascii="Browallia New" w:hAnsi="Browallia New" w:cs="Browallia New"/>
        <w:sz w:val="12"/>
        <w:szCs w:val="12"/>
      </w:rPr>
    </w:pPr>
    <w:r>
      <w:rPr>
        <w:rFonts w:ascii="Browallia New" w:hAnsi="Browallia New" w:cs="Browallia New"/>
        <w:sz w:val="12"/>
        <w:szCs w:val="12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601E"/>
    <w:multiLevelType w:val="hybridMultilevel"/>
    <w:tmpl w:val="2A52CF82"/>
    <w:lvl w:ilvl="0" w:tplc="0816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11257090"/>
    <w:multiLevelType w:val="hybridMultilevel"/>
    <w:tmpl w:val="55285D26"/>
    <w:lvl w:ilvl="0" w:tplc="01D6C6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97194C"/>
    <w:multiLevelType w:val="hybridMultilevel"/>
    <w:tmpl w:val="4306C3AA"/>
    <w:lvl w:ilvl="0" w:tplc="13EE0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F75ED"/>
    <w:multiLevelType w:val="hybridMultilevel"/>
    <w:tmpl w:val="2C865CE0"/>
    <w:lvl w:ilvl="0" w:tplc="E9A631A0">
      <w:start w:val="25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A87FA5"/>
    <w:multiLevelType w:val="hybridMultilevel"/>
    <w:tmpl w:val="64BE6928"/>
    <w:lvl w:ilvl="0" w:tplc="46B2A2AE">
      <w:start w:val="25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360A2D"/>
    <w:multiLevelType w:val="hybridMultilevel"/>
    <w:tmpl w:val="4C885334"/>
    <w:lvl w:ilvl="0" w:tplc="0FEE7C42">
      <w:start w:val="2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C94B1A"/>
    <w:multiLevelType w:val="hybridMultilevel"/>
    <w:tmpl w:val="C484A8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C1206"/>
    <w:multiLevelType w:val="hybridMultilevel"/>
    <w:tmpl w:val="3EAC9804"/>
    <w:lvl w:ilvl="0" w:tplc="0816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8">
    <w:nsid w:val="4185576C"/>
    <w:multiLevelType w:val="hybridMultilevel"/>
    <w:tmpl w:val="2A5EC91A"/>
    <w:lvl w:ilvl="0" w:tplc="679A0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8374E8"/>
    <w:multiLevelType w:val="hybridMultilevel"/>
    <w:tmpl w:val="8BE8C1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146B7"/>
    <w:multiLevelType w:val="hybridMultilevel"/>
    <w:tmpl w:val="4CF85F9C"/>
    <w:lvl w:ilvl="0" w:tplc="0816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76E75AA8"/>
    <w:multiLevelType w:val="hybridMultilevel"/>
    <w:tmpl w:val="32625E98"/>
    <w:lvl w:ilvl="0" w:tplc="834EB9B6">
      <w:start w:val="2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C22B87"/>
    <w:multiLevelType w:val="hybridMultilevel"/>
    <w:tmpl w:val="7DEC52E8"/>
    <w:lvl w:ilvl="0" w:tplc="C84ED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7569DA"/>
    <w:multiLevelType w:val="hybridMultilevel"/>
    <w:tmpl w:val="60BCA02E"/>
    <w:lvl w:ilvl="0" w:tplc="059A3D26">
      <w:start w:val="25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A833FC"/>
    <w:multiLevelType w:val="hybridMultilevel"/>
    <w:tmpl w:val="574C8420"/>
    <w:lvl w:ilvl="0" w:tplc="B5761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3"/>
  </w:num>
  <w:num w:numId="5">
    <w:abstractNumId w:val="12"/>
  </w:num>
  <w:num w:numId="6">
    <w:abstractNumId w:val="11"/>
  </w:num>
  <w:num w:numId="7">
    <w:abstractNumId w:val="5"/>
  </w:num>
  <w:num w:numId="8">
    <w:abstractNumId w:val="4"/>
  </w:num>
  <w:num w:numId="9">
    <w:abstractNumId w:val="14"/>
  </w:num>
  <w:num w:numId="10">
    <w:abstractNumId w:val="2"/>
  </w:num>
  <w:num w:numId="11">
    <w:abstractNumId w:val="6"/>
  </w:num>
  <w:num w:numId="12">
    <w:abstractNumId w:val="0"/>
  </w:num>
  <w:num w:numId="13">
    <w:abstractNumId w:val="9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499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2101E"/>
    <w:rsid w:val="0000377A"/>
    <w:rsid w:val="00005257"/>
    <w:rsid w:val="00006395"/>
    <w:rsid w:val="00024983"/>
    <w:rsid w:val="000259CD"/>
    <w:rsid w:val="000370C7"/>
    <w:rsid w:val="000514C9"/>
    <w:rsid w:val="00081A89"/>
    <w:rsid w:val="000861E3"/>
    <w:rsid w:val="00090D34"/>
    <w:rsid w:val="00093202"/>
    <w:rsid w:val="000A04B6"/>
    <w:rsid w:val="000A0C00"/>
    <w:rsid w:val="000A42B8"/>
    <w:rsid w:val="000B406D"/>
    <w:rsid w:val="000D615F"/>
    <w:rsid w:val="000E61D2"/>
    <w:rsid w:val="000F0913"/>
    <w:rsid w:val="000F30F2"/>
    <w:rsid w:val="00101A0A"/>
    <w:rsid w:val="00134A2E"/>
    <w:rsid w:val="00153D79"/>
    <w:rsid w:val="001750A1"/>
    <w:rsid w:val="0018316B"/>
    <w:rsid w:val="00185914"/>
    <w:rsid w:val="00192BA2"/>
    <w:rsid w:val="00193DAF"/>
    <w:rsid w:val="00195A81"/>
    <w:rsid w:val="00196763"/>
    <w:rsid w:val="001B00FF"/>
    <w:rsid w:val="001C101C"/>
    <w:rsid w:val="001C1472"/>
    <w:rsid w:val="001C4F06"/>
    <w:rsid w:val="001D1127"/>
    <w:rsid w:val="001D334B"/>
    <w:rsid w:val="001E1093"/>
    <w:rsid w:val="001E66EA"/>
    <w:rsid w:val="001E67B9"/>
    <w:rsid w:val="001F4073"/>
    <w:rsid w:val="001F7C40"/>
    <w:rsid w:val="0021372E"/>
    <w:rsid w:val="00220DB3"/>
    <w:rsid w:val="00241AE5"/>
    <w:rsid w:val="00250EDB"/>
    <w:rsid w:val="00254735"/>
    <w:rsid w:val="0029037F"/>
    <w:rsid w:val="0029410C"/>
    <w:rsid w:val="002B4098"/>
    <w:rsid w:val="002D2418"/>
    <w:rsid w:val="002E064F"/>
    <w:rsid w:val="002E0B22"/>
    <w:rsid w:val="002F44EC"/>
    <w:rsid w:val="00301D0A"/>
    <w:rsid w:val="00306F1D"/>
    <w:rsid w:val="00312326"/>
    <w:rsid w:val="00327973"/>
    <w:rsid w:val="00331D44"/>
    <w:rsid w:val="003433B9"/>
    <w:rsid w:val="003458FF"/>
    <w:rsid w:val="00354C83"/>
    <w:rsid w:val="0036704D"/>
    <w:rsid w:val="0038710E"/>
    <w:rsid w:val="00392C2C"/>
    <w:rsid w:val="0039665E"/>
    <w:rsid w:val="003A30F9"/>
    <w:rsid w:val="003B2515"/>
    <w:rsid w:val="003B426B"/>
    <w:rsid w:val="003B45C9"/>
    <w:rsid w:val="003D25B3"/>
    <w:rsid w:val="003D324A"/>
    <w:rsid w:val="003D39A0"/>
    <w:rsid w:val="0040364E"/>
    <w:rsid w:val="004055FC"/>
    <w:rsid w:val="00416E8E"/>
    <w:rsid w:val="00431633"/>
    <w:rsid w:val="004411D6"/>
    <w:rsid w:val="00445218"/>
    <w:rsid w:val="004506A0"/>
    <w:rsid w:val="004630E2"/>
    <w:rsid w:val="0046524E"/>
    <w:rsid w:val="004672EF"/>
    <w:rsid w:val="00472431"/>
    <w:rsid w:val="0047564A"/>
    <w:rsid w:val="00476193"/>
    <w:rsid w:val="00476494"/>
    <w:rsid w:val="0047707B"/>
    <w:rsid w:val="0047726A"/>
    <w:rsid w:val="00492009"/>
    <w:rsid w:val="00496CC7"/>
    <w:rsid w:val="004B1C26"/>
    <w:rsid w:val="005078BE"/>
    <w:rsid w:val="00523471"/>
    <w:rsid w:val="00524E99"/>
    <w:rsid w:val="00534A18"/>
    <w:rsid w:val="005373E8"/>
    <w:rsid w:val="00537844"/>
    <w:rsid w:val="005609DE"/>
    <w:rsid w:val="00564866"/>
    <w:rsid w:val="00573561"/>
    <w:rsid w:val="00573F90"/>
    <w:rsid w:val="00575B72"/>
    <w:rsid w:val="00575F13"/>
    <w:rsid w:val="005C494E"/>
    <w:rsid w:val="005D2A93"/>
    <w:rsid w:val="005F133B"/>
    <w:rsid w:val="005F6C2A"/>
    <w:rsid w:val="00602BD2"/>
    <w:rsid w:val="0060783D"/>
    <w:rsid w:val="00612460"/>
    <w:rsid w:val="006362A0"/>
    <w:rsid w:val="00662B0B"/>
    <w:rsid w:val="00692537"/>
    <w:rsid w:val="006962E7"/>
    <w:rsid w:val="00696B15"/>
    <w:rsid w:val="006A2D5F"/>
    <w:rsid w:val="006A49FF"/>
    <w:rsid w:val="006B6FA6"/>
    <w:rsid w:val="006C1663"/>
    <w:rsid w:val="006C4A69"/>
    <w:rsid w:val="006E7181"/>
    <w:rsid w:val="006F3A49"/>
    <w:rsid w:val="007006AB"/>
    <w:rsid w:val="00701CA0"/>
    <w:rsid w:val="00733B71"/>
    <w:rsid w:val="00740F20"/>
    <w:rsid w:val="00752D2C"/>
    <w:rsid w:val="00754BA1"/>
    <w:rsid w:val="00770696"/>
    <w:rsid w:val="00771510"/>
    <w:rsid w:val="007716EC"/>
    <w:rsid w:val="00781D8C"/>
    <w:rsid w:val="007B41D5"/>
    <w:rsid w:val="007B6CDC"/>
    <w:rsid w:val="007D68C3"/>
    <w:rsid w:val="007D7EAE"/>
    <w:rsid w:val="007E48D3"/>
    <w:rsid w:val="007F03CD"/>
    <w:rsid w:val="00833C1E"/>
    <w:rsid w:val="00840035"/>
    <w:rsid w:val="0084102A"/>
    <w:rsid w:val="0085436C"/>
    <w:rsid w:val="00854AF7"/>
    <w:rsid w:val="00861580"/>
    <w:rsid w:val="00875993"/>
    <w:rsid w:val="00875FB1"/>
    <w:rsid w:val="008A30F0"/>
    <w:rsid w:val="008D24C7"/>
    <w:rsid w:val="00911E74"/>
    <w:rsid w:val="009217EA"/>
    <w:rsid w:val="00933550"/>
    <w:rsid w:val="00943352"/>
    <w:rsid w:val="0095560A"/>
    <w:rsid w:val="00971FD0"/>
    <w:rsid w:val="0098652E"/>
    <w:rsid w:val="0099117B"/>
    <w:rsid w:val="00996DA9"/>
    <w:rsid w:val="00997973"/>
    <w:rsid w:val="009A7866"/>
    <w:rsid w:val="009C6CC9"/>
    <w:rsid w:val="009D57F5"/>
    <w:rsid w:val="009E13CB"/>
    <w:rsid w:val="009E19E8"/>
    <w:rsid w:val="009F63B5"/>
    <w:rsid w:val="009F7270"/>
    <w:rsid w:val="00A038F0"/>
    <w:rsid w:val="00A064EA"/>
    <w:rsid w:val="00A421FF"/>
    <w:rsid w:val="00A464F1"/>
    <w:rsid w:val="00A51062"/>
    <w:rsid w:val="00A562FB"/>
    <w:rsid w:val="00A611B6"/>
    <w:rsid w:val="00A74990"/>
    <w:rsid w:val="00A82408"/>
    <w:rsid w:val="00A8630C"/>
    <w:rsid w:val="00A93FE1"/>
    <w:rsid w:val="00A95E12"/>
    <w:rsid w:val="00A96918"/>
    <w:rsid w:val="00A97119"/>
    <w:rsid w:val="00A977A7"/>
    <w:rsid w:val="00AA1DCE"/>
    <w:rsid w:val="00AA2F28"/>
    <w:rsid w:val="00AA5D80"/>
    <w:rsid w:val="00AB0022"/>
    <w:rsid w:val="00AB3210"/>
    <w:rsid w:val="00AB7AA7"/>
    <w:rsid w:val="00AC30DC"/>
    <w:rsid w:val="00AC407B"/>
    <w:rsid w:val="00AC68F1"/>
    <w:rsid w:val="00AC698B"/>
    <w:rsid w:val="00AE2805"/>
    <w:rsid w:val="00AE2FE9"/>
    <w:rsid w:val="00AE3AAB"/>
    <w:rsid w:val="00AE6310"/>
    <w:rsid w:val="00AF1B4E"/>
    <w:rsid w:val="00AF1BE1"/>
    <w:rsid w:val="00AF4150"/>
    <w:rsid w:val="00B029F1"/>
    <w:rsid w:val="00B078C0"/>
    <w:rsid w:val="00B1043E"/>
    <w:rsid w:val="00B15F7E"/>
    <w:rsid w:val="00B21D4C"/>
    <w:rsid w:val="00B23C7D"/>
    <w:rsid w:val="00B32B49"/>
    <w:rsid w:val="00B37461"/>
    <w:rsid w:val="00B42F11"/>
    <w:rsid w:val="00B54074"/>
    <w:rsid w:val="00B570E3"/>
    <w:rsid w:val="00B65DB6"/>
    <w:rsid w:val="00B803D3"/>
    <w:rsid w:val="00B83B9E"/>
    <w:rsid w:val="00B92094"/>
    <w:rsid w:val="00B94B8E"/>
    <w:rsid w:val="00BA0244"/>
    <w:rsid w:val="00BB4014"/>
    <w:rsid w:val="00BB5711"/>
    <w:rsid w:val="00BC02CB"/>
    <w:rsid w:val="00BC0329"/>
    <w:rsid w:val="00BC1035"/>
    <w:rsid w:val="00BE3F2D"/>
    <w:rsid w:val="00BF15AC"/>
    <w:rsid w:val="00BF3A0D"/>
    <w:rsid w:val="00BF5D81"/>
    <w:rsid w:val="00C0146D"/>
    <w:rsid w:val="00C204C3"/>
    <w:rsid w:val="00C35407"/>
    <w:rsid w:val="00C44138"/>
    <w:rsid w:val="00C46D8A"/>
    <w:rsid w:val="00C622DE"/>
    <w:rsid w:val="00C778E8"/>
    <w:rsid w:val="00C82D02"/>
    <w:rsid w:val="00C94EA9"/>
    <w:rsid w:val="00C95F42"/>
    <w:rsid w:val="00CA1FB2"/>
    <w:rsid w:val="00CA3799"/>
    <w:rsid w:val="00CB0C5B"/>
    <w:rsid w:val="00CC366B"/>
    <w:rsid w:val="00CC7576"/>
    <w:rsid w:val="00CC7C8E"/>
    <w:rsid w:val="00CD3B7F"/>
    <w:rsid w:val="00CD79B1"/>
    <w:rsid w:val="00CE3132"/>
    <w:rsid w:val="00D07BB6"/>
    <w:rsid w:val="00D24D1B"/>
    <w:rsid w:val="00D40AA4"/>
    <w:rsid w:val="00D42A19"/>
    <w:rsid w:val="00D47406"/>
    <w:rsid w:val="00D56198"/>
    <w:rsid w:val="00D631EB"/>
    <w:rsid w:val="00D66641"/>
    <w:rsid w:val="00D8104D"/>
    <w:rsid w:val="00DA16A0"/>
    <w:rsid w:val="00DA30BA"/>
    <w:rsid w:val="00DB0F6F"/>
    <w:rsid w:val="00DB745D"/>
    <w:rsid w:val="00DC615C"/>
    <w:rsid w:val="00DD5CE2"/>
    <w:rsid w:val="00DD6284"/>
    <w:rsid w:val="00DF2EBF"/>
    <w:rsid w:val="00DF5182"/>
    <w:rsid w:val="00E12C47"/>
    <w:rsid w:val="00E164C0"/>
    <w:rsid w:val="00E2101E"/>
    <w:rsid w:val="00E231AB"/>
    <w:rsid w:val="00E40457"/>
    <w:rsid w:val="00E41ABF"/>
    <w:rsid w:val="00E47B3A"/>
    <w:rsid w:val="00E5066D"/>
    <w:rsid w:val="00E55E8E"/>
    <w:rsid w:val="00E615CD"/>
    <w:rsid w:val="00E64539"/>
    <w:rsid w:val="00E85FEB"/>
    <w:rsid w:val="00EA1854"/>
    <w:rsid w:val="00EA2539"/>
    <w:rsid w:val="00EA5517"/>
    <w:rsid w:val="00EB04DD"/>
    <w:rsid w:val="00EB3889"/>
    <w:rsid w:val="00EE1CB6"/>
    <w:rsid w:val="00EE5AF6"/>
    <w:rsid w:val="00EF41AB"/>
    <w:rsid w:val="00F079B3"/>
    <w:rsid w:val="00F21383"/>
    <w:rsid w:val="00F35637"/>
    <w:rsid w:val="00F40058"/>
    <w:rsid w:val="00F5089B"/>
    <w:rsid w:val="00F56027"/>
    <w:rsid w:val="00F7118C"/>
    <w:rsid w:val="00F75134"/>
    <w:rsid w:val="00F8555E"/>
    <w:rsid w:val="00F8588D"/>
    <w:rsid w:val="00F85AB5"/>
    <w:rsid w:val="00FB7814"/>
    <w:rsid w:val="00FC1B28"/>
    <w:rsid w:val="00FC458A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074"/>
    <w:rPr>
      <w:sz w:val="24"/>
      <w:szCs w:val="24"/>
    </w:rPr>
  </w:style>
  <w:style w:type="paragraph" w:styleId="Ttulo1">
    <w:name w:val="heading 1"/>
    <w:basedOn w:val="Normal"/>
    <w:next w:val="Normal"/>
    <w:qFormat/>
    <w:rsid w:val="00B54074"/>
    <w:pPr>
      <w:keepNext/>
      <w:outlineLvl w:val="0"/>
    </w:pPr>
    <w:rPr>
      <w:rFonts w:ascii="Bookman Old Style" w:hAnsi="Bookman Old Style"/>
      <w:b/>
      <w:bCs/>
      <w:sz w:val="22"/>
    </w:rPr>
  </w:style>
  <w:style w:type="paragraph" w:styleId="Ttulo2">
    <w:name w:val="heading 2"/>
    <w:basedOn w:val="Normal"/>
    <w:next w:val="Normal"/>
    <w:qFormat/>
    <w:rsid w:val="00B54074"/>
    <w:pPr>
      <w:keepNext/>
      <w:spacing w:line="480" w:lineRule="auto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B54074"/>
    <w:pPr>
      <w:keepNext/>
      <w:jc w:val="center"/>
      <w:outlineLvl w:val="2"/>
    </w:pPr>
    <w:rPr>
      <w:b/>
      <w:bCs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rsid w:val="00B54074"/>
    <w:pPr>
      <w:tabs>
        <w:tab w:val="left" w:pos="8955"/>
      </w:tabs>
      <w:spacing w:line="360" w:lineRule="auto"/>
      <w:ind w:left="357"/>
    </w:pPr>
    <w:rPr>
      <w:sz w:val="10"/>
    </w:rPr>
  </w:style>
  <w:style w:type="paragraph" w:styleId="Textodecomentrio">
    <w:name w:val="annotation text"/>
    <w:basedOn w:val="Normal"/>
    <w:semiHidden/>
    <w:rsid w:val="00B54074"/>
    <w:rPr>
      <w:sz w:val="20"/>
      <w:szCs w:val="20"/>
    </w:rPr>
  </w:style>
  <w:style w:type="paragraph" w:styleId="Cabealho">
    <w:name w:val="header"/>
    <w:basedOn w:val="Normal"/>
    <w:link w:val="CabealhoCarcter"/>
    <w:rsid w:val="00B54074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B54074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B54074"/>
    <w:rPr>
      <w:color w:val="800080"/>
      <w:u w:val="single"/>
    </w:rPr>
  </w:style>
  <w:style w:type="paragraph" w:styleId="Corpodetexto">
    <w:name w:val="Body Text"/>
    <w:basedOn w:val="Normal"/>
    <w:rsid w:val="00B54074"/>
    <w:pPr>
      <w:spacing w:line="360" w:lineRule="auto"/>
      <w:jc w:val="both"/>
    </w:pPr>
    <w:rPr>
      <w:rFonts w:ascii="Century" w:hAnsi="Century"/>
      <w:sz w:val="22"/>
    </w:rPr>
  </w:style>
  <w:style w:type="paragraph" w:styleId="Corpodetexto2">
    <w:name w:val="Body Text 2"/>
    <w:basedOn w:val="Normal"/>
    <w:rsid w:val="00B54074"/>
    <w:rPr>
      <w:sz w:val="22"/>
    </w:rPr>
  </w:style>
  <w:style w:type="paragraph" w:styleId="Rodap">
    <w:name w:val="footer"/>
    <w:basedOn w:val="Normal"/>
    <w:rsid w:val="00B54074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rsid w:val="00B54074"/>
    <w:pPr>
      <w:spacing w:line="360" w:lineRule="auto"/>
      <w:jc w:val="both"/>
    </w:pPr>
    <w:rPr>
      <w:rFonts w:ascii="Century" w:hAnsi="Century"/>
    </w:rPr>
  </w:style>
  <w:style w:type="character" w:styleId="CitaoHTML">
    <w:name w:val="HTML Cite"/>
    <w:basedOn w:val="Tipodeletrapredefinidodopargrafo"/>
    <w:rsid w:val="006E7181"/>
    <w:rPr>
      <w:i/>
      <w:iCs/>
    </w:rPr>
  </w:style>
  <w:style w:type="character" w:customStyle="1" w:styleId="CabealhoCarcter">
    <w:name w:val="Cabeçalho Carácter"/>
    <w:basedOn w:val="Tipodeletrapredefinidodopargrafo"/>
    <w:link w:val="Cabealho"/>
    <w:rsid w:val="006A49FF"/>
    <w:rPr>
      <w:sz w:val="24"/>
      <w:szCs w:val="24"/>
    </w:rPr>
  </w:style>
  <w:style w:type="paragraph" w:styleId="Textodebalo">
    <w:name w:val="Balloon Text"/>
    <w:basedOn w:val="Normal"/>
    <w:link w:val="TextodebaloCarcter"/>
    <w:rsid w:val="00A8240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8240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F44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078C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DC6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fperoalenquer.pt" TargetMode="External"/><Relationship Id="rId1" Type="http://schemas.openxmlformats.org/officeDocument/2006/relationships/hyperlink" Target="mailto:cf.peroalenquer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F514B-7448-4487-BE1D-8D7DB41E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Co-financiado pelo FSE e ME</vt:lpstr>
    </vt:vector>
  </TitlesOfParts>
  <Company>**</Company>
  <LinksUpToDate>false</LinksUpToDate>
  <CharactersWithSpaces>1481</CharactersWithSpaces>
  <SharedDoc>false</SharedDoc>
  <HLinks>
    <vt:vector size="6" baseType="variant">
      <vt:variant>
        <vt:i4>6750250</vt:i4>
      </vt:variant>
      <vt:variant>
        <vt:i4>0</vt:i4>
      </vt:variant>
      <vt:variant>
        <vt:i4>0</vt:i4>
      </vt:variant>
      <vt:variant>
        <vt:i4>5</vt:i4>
      </vt:variant>
      <vt:variant>
        <vt:lpwstr>http://www.min-edu.pt/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Co-financiado pelo FSE e ME</dc:title>
  <dc:creator>Director</dc:creator>
  <cp:lastModifiedBy>novo02</cp:lastModifiedBy>
  <cp:revision>4</cp:revision>
  <cp:lastPrinted>2013-12-18T11:59:00Z</cp:lastPrinted>
  <dcterms:created xsi:type="dcterms:W3CDTF">2014-10-10T14:48:00Z</dcterms:created>
  <dcterms:modified xsi:type="dcterms:W3CDTF">2014-10-10T15:20:00Z</dcterms:modified>
</cp:coreProperties>
</file>